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FE" w:rsidRPr="00B57B03" w:rsidRDefault="00B45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Odpowiedzi na p</w:t>
      </w:r>
      <w:r w:rsidR="00F949F4" w:rsidRPr="00B57B03">
        <w:rPr>
          <w:b/>
          <w:sz w:val="24"/>
          <w:szCs w:val="24"/>
        </w:rPr>
        <w:t xml:space="preserve">ytania </w:t>
      </w:r>
      <w:r w:rsidR="003A3E18">
        <w:rPr>
          <w:b/>
          <w:sz w:val="24"/>
          <w:szCs w:val="24"/>
        </w:rPr>
        <w:t xml:space="preserve">do ogłoszenia z dnia 14.04.2014 </w:t>
      </w:r>
      <w:proofErr w:type="gramStart"/>
      <w:r w:rsidR="003A3E18">
        <w:rPr>
          <w:b/>
          <w:sz w:val="24"/>
          <w:szCs w:val="24"/>
        </w:rPr>
        <w:t>nr</w:t>
      </w:r>
      <w:proofErr w:type="gramEnd"/>
      <w:r w:rsidR="003A3E18">
        <w:rPr>
          <w:b/>
          <w:sz w:val="24"/>
          <w:szCs w:val="24"/>
        </w:rPr>
        <w:t xml:space="preserve"> 81689-2014 </w:t>
      </w:r>
      <w:r>
        <w:rPr>
          <w:b/>
          <w:sz w:val="24"/>
          <w:szCs w:val="24"/>
        </w:rPr>
        <w:t>„</w:t>
      </w:r>
      <w:r w:rsidR="003A3E18">
        <w:rPr>
          <w:b/>
          <w:sz w:val="24"/>
          <w:szCs w:val="24"/>
        </w:rPr>
        <w:t>Monitoring skuteczności działań ochronnych realizowanych w ramach projektu LIFE Pieniny PL</w:t>
      </w:r>
      <w:r>
        <w:rPr>
          <w:b/>
          <w:sz w:val="24"/>
          <w:szCs w:val="24"/>
        </w:rPr>
        <w:t>”</w:t>
      </w:r>
    </w:p>
    <w:p w:rsidR="005B41FA" w:rsidRDefault="00172D75" w:rsidP="00172D75">
      <w:pPr>
        <w:pStyle w:val="Akapitzlist"/>
        <w:numPr>
          <w:ilvl w:val="0"/>
          <w:numId w:val="7"/>
        </w:numPr>
        <w:jc w:val="both"/>
      </w:pPr>
      <w:r w:rsidRPr="00172D75">
        <w:t>Jak</w:t>
      </w:r>
      <w:r w:rsidR="005B41FA" w:rsidRPr="00172D75">
        <w:t xml:space="preserve"> należy wykonać rozpoznanie pełne i </w:t>
      </w:r>
      <w:proofErr w:type="gramStart"/>
      <w:r w:rsidR="005B41FA" w:rsidRPr="00172D75">
        <w:t>uproszczone jeśli</w:t>
      </w:r>
      <w:proofErr w:type="gramEnd"/>
      <w:r w:rsidR="005B41FA" w:rsidRPr="00172D75">
        <w:t xml:space="preserve"> na działkach wskazanych przez zamawiającego</w:t>
      </w:r>
      <w:r w:rsidR="005B41FA" w:rsidRPr="00D011E9">
        <w:t xml:space="preserve"> nie zostanie odnotowane siedlisko Natura 2000 lub powierzchnia tego </w:t>
      </w:r>
      <w:r w:rsidR="005B41FA" w:rsidRPr="00172D75">
        <w:t xml:space="preserve">siedliska będzie </w:t>
      </w:r>
      <w:r w:rsidR="00980B70">
        <w:t>na tyle m</w:t>
      </w:r>
      <w:r w:rsidR="00D011E9" w:rsidRPr="00172D75">
        <w:t>ała</w:t>
      </w:r>
      <w:r w:rsidR="00980B70">
        <w:t xml:space="preserve">, że </w:t>
      </w:r>
      <w:r w:rsidR="00D011E9" w:rsidRPr="00172D75">
        <w:t>uniemożliwi</w:t>
      </w:r>
      <w:r w:rsidRPr="00172D75">
        <w:t xml:space="preserve"> </w:t>
      </w:r>
      <w:r w:rsidR="00D011E9" w:rsidRPr="00172D75">
        <w:t>wykonanie 3 zdjęć</w:t>
      </w:r>
      <w:r w:rsidR="00567C98" w:rsidRPr="00172D75">
        <w:t xml:space="preserve"> </w:t>
      </w:r>
      <w:r w:rsidR="00D011E9" w:rsidRPr="00172D75">
        <w:t xml:space="preserve">fitosocjologicznych w siedlisku Natura 2000. </w:t>
      </w:r>
      <w:r w:rsidRPr="00172D75">
        <w:t>(</w:t>
      </w:r>
      <w:r w:rsidR="003A3E18">
        <w:t xml:space="preserve">Załącznik 1, </w:t>
      </w:r>
      <w:r w:rsidR="00584D2E">
        <w:t xml:space="preserve">1. Monitoring skuteczności zabiegów… 1.1 </w:t>
      </w:r>
      <w:r w:rsidRPr="00172D75">
        <w:t>Monitoring roślinności łąkowej (str. 2))</w:t>
      </w:r>
    </w:p>
    <w:p w:rsidR="00B4570D" w:rsidRDefault="00FC1480" w:rsidP="00FC1480">
      <w:pPr>
        <w:ind w:left="360"/>
        <w:jc w:val="both"/>
      </w:pPr>
      <w:r>
        <w:t xml:space="preserve">W załączniku 1 do SIWZ, </w:t>
      </w:r>
      <w:proofErr w:type="spellStart"/>
      <w:r>
        <w:t>pkt</w:t>
      </w:r>
      <w:proofErr w:type="spellEnd"/>
      <w:r>
        <w:t xml:space="preserve"> 1.1. Monitoring roślinności łąkowej znajduje się informacja „wyboru działek dokona Zamawiający”. Po stronie </w:t>
      </w:r>
      <w:proofErr w:type="gramStart"/>
      <w:r>
        <w:t>Zamawiającego zatem</w:t>
      </w:r>
      <w:proofErr w:type="gramEnd"/>
      <w:r>
        <w:t xml:space="preserve"> leży obowiązek takiego wyznaczenia działek do monitoringu aby Wykonawca mógł wywiązać się z warunków umowy i</w:t>
      </w:r>
      <w:r w:rsidR="000F006E">
        <w:t> </w:t>
      </w:r>
      <w:r>
        <w:t xml:space="preserve">wykonać monitoring zgodnie z metodyką opublikowaną przez Główny Inspektorat Ochrony Środowiska w Warszawie. Zamawiający wykona przedmiotowych ustaleń w oparciu o posiadane materiały (mapa siedlisk przyrodniczych, Operat związany z ochroną </w:t>
      </w:r>
      <w:proofErr w:type="gramStart"/>
      <w:r>
        <w:t>Parku jako</w:t>
      </w:r>
      <w:proofErr w:type="gramEnd"/>
      <w:r>
        <w:t xml:space="preserve"> obszar Natura 2000)</w:t>
      </w:r>
      <w:r w:rsidR="000F006E">
        <w:t>.</w:t>
      </w:r>
    </w:p>
    <w:p w:rsidR="00172D75" w:rsidRPr="00172D75" w:rsidRDefault="00172D75" w:rsidP="00172D75">
      <w:pPr>
        <w:pStyle w:val="Akapitzlist"/>
        <w:jc w:val="both"/>
      </w:pPr>
    </w:p>
    <w:p w:rsidR="00991814" w:rsidRDefault="00172D75" w:rsidP="00172D75">
      <w:pPr>
        <w:pStyle w:val="Akapitzlist"/>
        <w:numPr>
          <w:ilvl w:val="0"/>
          <w:numId w:val="7"/>
        </w:numPr>
        <w:jc w:val="both"/>
      </w:pPr>
      <w:r w:rsidRPr="00172D75">
        <w:t>Prosimy o doprecyzowanie, c</w:t>
      </w:r>
      <w:r w:rsidR="008E1400" w:rsidRPr="00172D75">
        <w:t xml:space="preserve">zego </w:t>
      </w:r>
      <w:r w:rsidRPr="00172D75">
        <w:t xml:space="preserve">Zamawiający </w:t>
      </w:r>
      <w:r w:rsidR="008E1400" w:rsidRPr="00172D75">
        <w:t>oczekuje w ramach inwentaryzacji cennych gatunków bioty? Czy wystarczające będzie podanie gatunków flory?</w:t>
      </w:r>
      <w:r w:rsidR="003A0C51" w:rsidRPr="00172D75">
        <w:t xml:space="preserve"> </w:t>
      </w:r>
      <w:r w:rsidRPr="00172D75">
        <w:t>(</w:t>
      </w:r>
      <w:r w:rsidR="003A3E18">
        <w:t xml:space="preserve">Załącznik 1, </w:t>
      </w:r>
      <w:r w:rsidR="009F7B34">
        <w:t xml:space="preserve">1. Monitoring skuteczności zabiegów… 1.1 </w:t>
      </w:r>
      <w:r w:rsidR="009F7B34" w:rsidRPr="00172D75">
        <w:t>Monitoring roślinności łąkowej</w:t>
      </w:r>
      <w:r w:rsidR="009F7B34">
        <w:t>,</w:t>
      </w:r>
      <w:r w:rsidR="009F7B34" w:rsidRPr="00172D75">
        <w:t xml:space="preserve"> </w:t>
      </w:r>
      <w:r w:rsidRPr="00172D75">
        <w:t xml:space="preserve">Monitoring stanu wyjściowego – stan „0” (str. 2)) </w:t>
      </w:r>
    </w:p>
    <w:p w:rsidR="00172D75" w:rsidRDefault="000F006E" w:rsidP="00867D63">
      <w:pPr>
        <w:ind w:left="360"/>
        <w:jc w:val="both"/>
      </w:pPr>
      <w:r>
        <w:t xml:space="preserve">W załączniku 1 do SIWZ, </w:t>
      </w:r>
      <w:proofErr w:type="spellStart"/>
      <w:r>
        <w:t>pkt</w:t>
      </w:r>
      <w:proofErr w:type="spellEnd"/>
      <w:r>
        <w:t xml:space="preserve"> 1.1. Monitoring roślinności łąkowej</w:t>
      </w:r>
      <w:r w:rsidR="00413939">
        <w:t xml:space="preserve">, Monitoring stanu wyjściowego – stan „0” </w:t>
      </w:r>
      <w:r>
        <w:t>znajduje się informacja</w:t>
      </w:r>
      <w:r w:rsidR="00413939">
        <w:t xml:space="preserve"> o </w:t>
      </w:r>
      <w:r w:rsidR="009D4CF4">
        <w:t xml:space="preserve">konieczności zinwentaryzowania cennych gatunków flory i bioty. </w:t>
      </w:r>
      <w:r w:rsidR="00867D63">
        <w:t xml:space="preserve">Dla spełnienia wymogów zamówienia podanie wyłącznie gatunków flory (rośliny naczyniowe, mszaki) będzie niewystarczające. Należy podać także stwierdzone gatunki grzybów wielkoowocnikowych lub porostów. </w:t>
      </w:r>
      <w:r w:rsidR="009D4CF4">
        <w:t xml:space="preserve">W przypadku Pienińskiego Parku Narodowego </w:t>
      </w:r>
      <w:r w:rsidR="0045627D">
        <w:t xml:space="preserve">wszystkie </w:t>
      </w:r>
      <w:r w:rsidR="00867D63">
        <w:t xml:space="preserve">gatunki bioty </w:t>
      </w:r>
      <w:r w:rsidR="003B0845">
        <w:t xml:space="preserve">szczególnego zainteresowania </w:t>
      </w:r>
      <w:r w:rsidR="00867D63">
        <w:t xml:space="preserve">wymienione są w poniższych tabelach. </w:t>
      </w:r>
    </w:p>
    <w:p w:rsidR="00867D63" w:rsidRDefault="00867D63" w:rsidP="00867D63">
      <w:r>
        <w:t>Grzyby wielkoowocnikowe</w:t>
      </w:r>
    </w:p>
    <w:tbl>
      <w:tblPr>
        <w:tblW w:w="784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18"/>
        <w:gridCol w:w="3520"/>
        <w:gridCol w:w="1412"/>
        <w:gridCol w:w="1300"/>
        <w:gridCol w:w="1380"/>
      </w:tblGrid>
      <w:tr w:rsidR="00867D63" w:rsidRPr="007A08B2" w:rsidTr="00867D63">
        <w:trPr>
          <w:trHeight w:val="225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nazwa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łacińska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nazwa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polska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867D63" w:rsidRPr="007A08B2" w:rsidTr="00867D6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gatunek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rodzina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gatunek</w:t>
            </w:r>
            <w:proofErr w:type="gram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rodzina</w:t>
            </w:r>
            <w:proofErr w:type="gramEnd"/>
          </w:p>
        </w:tc>
      </w:tr>
      <w:tr w:rsidR="00867D63" w:rsidRPr="007A08B2" w:rsidTr="00867D6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klasa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Ascomycetes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Gyromitra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infula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Schaeff.:Fr</w:t>
            </w:r>
            <w:proofErr w:type="spellEnd"/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Quél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Helvellaceae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Piestrzenica infułowata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Piestrzycowate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Morchella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elata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Morchellaceae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Smardz wyniosły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Smardzowate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Morchella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esculenta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(L.) Pers.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Morchellaceae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Smardz jadalny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Smardzowate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Sarcosphaera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coronaria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Jacq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Schroet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Pezizaceae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Koronica ozdobna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Kustrzebkowate</w:t>
            </w:r>
            <w:proofErr w:type="spellEnd"/>
          </w:p>
        </w:tc>
      </w:tr>
      <w:tr w:rsidR="00867D63" w:rsidRPr="007A08B2" w:rsidTr="00867D63">
        <w:trPr>
          <w:trHeight w:val="22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klasa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Basidiomycetes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867D63" w:rsidRPr="007A08B2" w:rsidTr="00867D6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rząd: 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Aphyllophorales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Fomitopsis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rosea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(Alb. </w:t>
            </w: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et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Schw.:Fr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.) P.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Karst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Polyporaceae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Pniarek różowy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Żagwiowate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Hericium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coralloides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Scop.:Fr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.) S. F. Gray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Hericiaceae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Soplówka jodłowa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Soplówkowate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Pycnoporus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cinnabarinus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Jacq.:Fr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.) P.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Karst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Polyporaceae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Gęstoporek cynobrowy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Żagwiowate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Ramariopsis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kunzei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Corner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Ramariaceae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brak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polskiej nazwy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Gałęziakowate</w:t>
            </w:r>
            <w:proofErr w:type="spellEnd"/>
          </w:p>
        </w:tc>
      </w:tr>
      <w:tr w:rsidR="00867D63" w:rsidRPr="007A08B2" w:rsidTr="00867D63">
        <w:trPr>
          <w:trHeight w:val="22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rząd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Boletales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Boletus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edulis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Bull.:Fr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Boletaceae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Borowik szlachetny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Borowikowate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Gyrodon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lividus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Bull.:Fr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Sacc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Boletaceae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Zębiak sinawy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Borowikowate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Leccinum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scabrum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Bull.:Fr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.) S. F. Gray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Boletaceae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Koźlarz babka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Borowikowate</w:t>
            </w:r>
          </w:p>
        </w:tc>
      </w:tr>
      <w:tr w:rsidR="00867D63" w:rsidRPr="007A08B2" w:rsidTr="00867D63">
        <w:trPr>
          <w:trHeight w:val="22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rząd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Agaricales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Asterophora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parasitica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Bull.:Fr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.) Sing.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Tricholomata-ceae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Nicniczka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pasożytnicza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Gąskowate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Cortinarius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percomis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Cortinariaceae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Zasłonak majerankowy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Zasłonakowate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Hygrocybe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calyptraeformis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Berk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. et Br.)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Fayod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Hygrophoraceae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Wilgotnica czepeczkowata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Wodnichowate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Hygrocybe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laeta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Pers.:Fr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.) P.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Karst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Hygrophoraceae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Wilgotnica jasna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Wodnichowate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Hygrocybe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punicea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Kumm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Hygrophoraceae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Wilgotnica karminowa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Wodnichowate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Hygrocybe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tristis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(Pers.)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Möll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Hygrophoraceae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Wilgotnica wysmukła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Wodnichowate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Hygrocybe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unguinosa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Karst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Hygrophoraceae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Wilgotnica szara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Wodnichowate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Hygrophorus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hyacinthinus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Quél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Hygrophoraceae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Wodnicha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hyacyntowa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Wodnichowate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Macrolepiota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procera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Scop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.: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Fr.) Sing.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Agaricaceae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Czubajka kania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Pieczarkowate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Mycena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crocata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Schrad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.: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Kumm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Tricholomataceae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Grzybówka szafranowa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Gąskowate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Oudemansiella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mucida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Schrad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.: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Fr.) v.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Hoehn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Tricholomata-ceae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Monetka kleista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Gąskowate</w:t>
            </w:r>
            <w:proofErr w:type="spellEnd"/>
          </w:p>
        </w:tc>
      </w:tr>
      <w:tr w:rsidR="00867D63" w:rsidRPr="007A08B2" w:rsidTr="00867D63">
        <w:trPr>
          <w:trHeight w:val="22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rząd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Rusullales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Lactarius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deliciosus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(L.) S. F. Gray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Russulaceae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Mleczaj rydz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Gołąbkowate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Lactarius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porninsis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Roll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Russulaceae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Mleczaj modrzewiowy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Gołąbkowate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Lactarius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salmonicolor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Heim et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Lecl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Russulaceae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Mleczaj późnojesienny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Gołąbkowate</w:t>
            </w:r>
            <w:proofErr w:type="spellEnd"/>
          </w:p>
        </w:tc>
      </w:tr>
      <w:tr w:rsidR="00867D63" w:rsidRPr="007A08B2" w:rsidTr="00867D63">
        <w:trPr>
          <w:trHeight w:val="22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klasa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Gasteromycetes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Geastrum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triplex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Jungh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Geastraceae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Gwiazdosz potrójny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Gwiazdoszowate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Lycoperdon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echinatum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Pers. ex Pers.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Lycoperdaceae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Purchawka jeżowata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Purchawkowate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Lycoperdon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mammaeforme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Pers.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Lycoperdaceae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Purchawka łatkowata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Purchawkowate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Mutinus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caninus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Huds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. ex Pers.)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Phallaceae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Mądziak psi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Sromotnikowate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Phallogaster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saccatus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Morgan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Hysterangiaceae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Słupnik gruszkowaty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Korzeniakowate</w:t>
            </w:r>
            <w:proofErr w:type="spellEnd"/>
          </w:p>
        </w:tc>
      </w:tr>
    </w:tbl>
    <w:p w:rsidR="00867D63" w:rsidRDefault="00867D63" w:rsidP="00867D63"/>
    <w:p w:rsidR="00867D63" w:rsidRDefault="00867D63" w:rsidP="00867D63">
      <w:r>
        <w:t>Porosty</w:t>
      </w:r>
    </w:p>
    <w:tbl>
      <w:tblPr>
        <w:tblW w:w="802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20"/>
        <w:gridCol w:w="3106"/>
        <w:gridCol w:w="1460"/>
        <w:gridCol w:w="1860"/>
        <w:gridCol w:w="1377"/>
      </w:tblGrid>
      <w:tr w:rsidR="00867D63" w:rsidRPr="007A08B2" w:rsidTr="00867D63">
        <w:trPr>
          <w:trHeight w:val="255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nazwa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łacińska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nazwa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polska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867D63" w:rsidRPr="007A08B2" w:rsidTr="00867D63">
        <w:trPr>
          <w:trHeight w:val="22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gatunek</w:t>
            </w:r>
            <w:proofErr w:type="gram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rodzina</w:t>
            </w:r>
            <w:proofErr w:type="gramEnd"/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gatunek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rodzina</w:t>
            </w:r>
            <w:proofErr w:type="gram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gatunki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z rodzaju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Bryoria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Brodo &amp;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Hawskw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Usneaceae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Włostka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Brodaczkowate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gatunki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z rodzaju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Usnea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Dill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. </w:t>
            </w:r>
            <w:proofErr w:type="gram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ex</w:t>
            </w:r>
            <w:proofErr w:type="gram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Adams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Usneaceae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Brodaczka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Brodaczkowate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Flavoparmelia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caperata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(L.) Hale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Parmeliaceae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Żółtlica chropowata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Tarczownicowate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Chrysotrix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candelaris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(L.)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Laundon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>Chrysotrichaceae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Złociszek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żółty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Złociszkowate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Pseudevernia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furfuracea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(L.)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Zopf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Parmeliaceae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Mąklik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otrębiasty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Tarczownicowate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Pyrenula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nitida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Weig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.) Ach.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Pyrenulaceae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Otocznica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lśniąca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Otocznicowate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Imshaugia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aleurites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(Ach.) Fricke Meyer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Parmeliaceae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Popielak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szary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Tarczownicowate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Vulpicida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pinastri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Scop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.) Mattson &amp; Lai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Parmeliaceae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Żółtlinka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złota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Tarczownicowate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Calicium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abietinum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Pers.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Caliciaceae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Pałecznik jodłowy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Pałecznikowate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Hypocenomyce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caradocensis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Leight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. Ex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Nyl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.) P. James &amp; G. Schneider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Lecideaceae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Krostka leśna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Krążniczkowate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Fulgensia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bracteata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Hoffm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.) Ras.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Teloschistaceae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Błyskotka brodawkowata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Złotorostowate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Tephromela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pieninica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Motyka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Lecanoraceae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Tefromela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pienińska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Misecznicowate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Protoblastenia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testacea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Hoffm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Clauz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. &amp;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Rondon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Psoraceae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Kulistka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łuskowata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Ramalina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intermedia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Delise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non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auct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Ramalinaceae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Odnożyca pośrednia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Odnożycowate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Placynthium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subradiatum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Nyl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.) Arnold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Placynthiaceae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Rozłożyk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półpromienisty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Dermatocarpon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miniatum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(L.) Mann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Verrucariaceae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Skórnica czerwonawa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Brodawnicowate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Caloplaca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cirrochroa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(Ach.) Th. Fr.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Teloschistaceae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Jaskrawiec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pierścieniowaty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Złotorostowate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Aspicilia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moenium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Vainio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) Thor &amp;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Timdal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Hymeneliaceae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Okrążek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łuseczkowaty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Physconia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muscigena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(Ach.)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Poelt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Physciaceae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Soreniec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mchowy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Obrostowate</w:t>
            </w:r>
            <w:proofErr w:type="spellEnd"/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Solorina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saccata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(L.) Ach.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Peltigeraceae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Dołczanka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torbiasta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Pawężnicowate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Peltigera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praetextata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Flk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.)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Zopf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Peltigeraceae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Pawężnica łuseczkowata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Pawężnicowate</w:t>
            </w:r>
          </w:p>
        </w:tc>
      </w:tr>
      <w:tr w:rsidR="00867D63" w:rsidRPr="007A08B2" w:rsidTr="00867D63">
        <w:trPr>
          <w:trHeight w:val="3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Caloplaca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cerina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Erhr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 xml:space="preserve">. Ex </w:t>
            </w: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Hedw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val="en-US" w:eastAsia="pl-PL"/>
              </w:rPr>
              <w:t>.)Th. Fr.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Teloschistaceae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Jaskrawiec</w:t>
            </w:r>
            <w:proofErr w:type="spellEnd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okapowy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63" w:rsidRPr="007A08B2" w:rsidRDefault="00867D63" w:rsidP="00867D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7A08B2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Złotorostowate</w:t>
            </w:r>
            <w:proofErr w:type="spellEnd"/>
          </w:p>
        </w:tc>
      </w:tr>
    </w:tbl>
    <w:p w:rsidR="00867D63" w:rsidRDefault="00867D63" w:rsidP="00867D63">
      <w:pPr>
        <w:ind w:left="360"/>
        <w:jc w:val="both"/>
      </w:pPr>
    </w:p>
    <w:p w:rsidR="000F006E" w:rsidRDefault="000F006E" w:rsidP="00172D75">
      <w:pPr>
        <w:pStyle w:val="Akapitzlist"/>
      </w:pPr>
    </w:p>
    <w:p w:rsidR="009B6482" w:rsidRDefault="00172D75" w:rsidP="00172D75">
      <w:pPr>
        <w:pStyle w:val="Akapitzlist"/>
        <w:numPr>
          <w:ilvl w:val="0"/>
          <w:numId w:val="7"/>
        </w:numPr>
        <w:jc w:val="both"/>
      </w:pPr>
      <w:r w:rsidRPr="00172D75">
        <w:t>Prosimy o doprecyzowanie ilu zdjęć fitosocjologicznych oczekuje Zamawiający, w odniesieniu do monitoringu stanu wyjściowego na murawach oraz j</w:t>
      </w:r>
      <w:r w:rsidR="009B6482" w:rsidRPr="00172D75">
        <w:t xml:space="preserve">aka jest planowana powierzchnia </w:t>
      </w:r>
      <w:r w:rsidR="006F28ED" w:rsidRPr="00172D75">
        <w:t>transektów,</w:t>
      </w:r>
      <w:r w:rsidR="009B6482" w:rsidRPr="00172D75">
        <w:t xml:space="preserve"> na których należy dokonać pomiarów koron drzew?</w:t>
      </w:r>
      <w:r w:rsidR="000A39BA">
        <w:t xml:space="preserve"> </w:t>
      </w:r>
      <w:r w:rsidR="009F7B34">
        <w:t>(</w:t>
      </w:r>
      <w:r w:rsidR="003A3E18">
        <w:t xml:space="preserve">Załącznik 1, </w:t>
      </w:r>
      <w:r w:rsidR="009F7B34">
        <w:t>2. Monitoring skuteczności zabiegów na murawach, Monitoring stanu wyjściowego – stan „0” (str.5))</w:t>
      </w:r>
    </w:p>
    <w:p w:rsidR="0045627D" w:rsidRDefault="00C00136" w:rsidP="0045627D">
      <w:pPr>
        <w:ind w:left="360"/>
        <w:jc w:val="both"/>
      </w:pPr>
      <w:r>
        <w:t xml:space="preserve">W ramach realizacji zamówienia Zamawiający oczekuje wykonania łącznie 6 zdjęć fitosocjologicznych (po 1 zdjęciu fitosocjologicznym na następujących stanowiskach – </w:t>
      </w:r>
      <w:proofErr w:type="spellStart"/>
      <w:r>
        <w:t>Cyrlowa</w:t>
      </w:r>
      <w:proofErr w:type="spellEnd"/>
      <w:r>
        <w:t xml:space="preserve"> Skałka, Nowa Góra, </w:t>
      </w:r>
      <w:proofErr w:type="spellStart"/>
      <w:r>
        <w:t>Upszar</w:t>
      </w:r>
      <w:proofErr w:type="spellEnd"/>
      <w:r>
        <w:t xml:space="preserve">, Macelowa Góra oraz 2 zdjęcia fitosocjologiczne na piargach pod Trzema Koronami). Powierzchnia transektów, na których należy dokonać pomiarów drzew </w:t>
      </w:r>
      <w:r w:rsidR="00E913A7">
        <w:t>to w przypadku Macelowej Góry – 3 ary (kontynuacja podjętego monitoringu – dane wyjściowe udostępni Zamawiający), a w przypadku pozostałych lokalizacji – 1 ar (rozpoczęcie i kontynuacja monitoringu).</w:t>
      </w:r>
    </w:p>
    <w:p w:rsidR="00980B70" w:rsidRDefault="00980B70" w:rsidP="00980B70">
      <w:pPr>
        <w:pStyle w:val="Akapitzlist"/>
      </w:pPr>
    </w:p>
    <w:p w:rsidR="00980B70" w:rsidRDefault="005009B8" w:rsidP="00980B70">
      <w:pPr>
        <w:pStyle w:val="Akapitzlist"/>
        <w:numPr>
          <w:ilvl w:val="0"/>
          <w:numId w:val="7"/>
        </w:numPr>
        <w:jc w:val="both"/>
      </w:pPr>
      <w:r w:rsidRPr="004F30B8">
        <w:t xml:space="preserve">Prosimy o doprecyzowanie zakresu prac w ramach zadania: </w:t>
      </w:r>
      <w:r w:rsidR="004F30B8">
        <w:t>„</w:t>
      </w:r>
      <w:r w:rsidRPr="004F30B8">
        <w:t>kartowanie zniszczeń roślinności”</w:t>
      </w:r>
      <w:r w:rsidR="0029714E">
        <w:t>.</w:t>
      </w:r>
      <w:r w:rsidR="00DE04AE">
        <w:t xml:space="preserve"> </w:t>
      </w:r>
      <w:r w:rsidR="0029714E">
        <w:t>C</w:t>
      </w:r>
      <w:r w:rsidR="00DE04AE">
        <w:t xml:space="preserve">zy jest to równoznaczne z </w:t>
      </w:r>
      <w:r w:rsidR="00DE04AE" w:rsidRPr="004F30B8">
        <w:t>określ</w:t>
      </w:r>
      <w:r w:rsidR="00DE04AE">
        <w:t>eniem</w:t>
      </w:r>
      <w:r w:rsidR="00DE04AE" w:rsidRPr="004F30B8">
        <w:t xml:space="preserve"> wskaźnik</w:t>
      </w:r>
      <w:r w:rsidR="00DE04AE">
        <w:t>ów</w:t>
      </w:r>
      <w:r w:rsidR="00DE04AE" w:rsidRPr="004F30B8">
        <w:t xml:space="preserve"> monitorowania regeneracji pokrywy roślinnej wymienion</w:t>
      </w:r>
      <w:r w:rsidR="00DE04AE">
        <w:t>ym</w:t>
      </w:r>
      <w:r w:rsidR="00DE04AE" w:rsidRPr="004F30B8">
        <w:t xml:space="preserve"> w dalszej cz</w:t>
      </w:r>
      <w:r w:rsidR="00DE04AE">
        <w:t>ęści</w:t>
      </w:r>
      <w:r w:rsidR="00584D2E">
        <w:t xml:space="preserve"> </w:t>
      </w:r>
      <w:proofErr w:type="gramStart"/>
      <w:r w:rsidR="00584D2E">
        <w:t>SIWZ</w:t>
      </w:r>
      <w:r w:rsidRPr="004F30B8">
        <w:t>.</w:t>
      </w:r>
      <w:r w:rsidR="000A39BA">
        <w:t xml:space="preserve"> </w:t>
      </w:r>
      <w:r w:rsidR="00980B70">
        <w:t>(</w:t>
      </w:r>
      <w:proofErr w:type="gramEnd"/>
      <w:r w:rsidR="003A3E18">
        <w:t xml:space="preserve">Załącznik 1, </w:t>
      </w:r>
      <w:r w:rsidR="009F7B34">
        <w:t xml:space="preserve">3. </w:t>
      </w:r>
      <w:r w:rsidR="00980B70" w:rsidRPr="006F28ED">
        <w:t>Monitoring efektów związanych z remontem szlaków</w:t>
      </w:r>
      <w:r w:rsidR="009F7B34">
        <w:t>,</w:t>
      </w:r>
      <w:r w:rsidR="00980B70" w:rsidRPr="006F28ED">
        <w:t xml:space="preserve"> </w:t>
      </w:r>
      <w:r w:rsidR="009F7B34">
        <w:t xml:space="preserve">3.2. </w:t>
      </w:r>
      <w:r w:rsidR="00980B70" w:rsidRPr="004F30B8">
        <w:t>Monitoring sukcesji roślinności</w:t>
      </w:r>
      <w:r w:rsidR="009F7B34">
        <w:t>… Monitoring stanu wyjściowego – stan „0” (</w:t>
      </w:r>
      <w:r w:rsidR="00980B70">
        <w:t xml:space="preserve">str. </w:t>
      </w:r>
      <w:r w:rsidR="009F7B34">
        <w:t>7))</w:t>
      </w:r>
      <w:r w:rsidR="00584D2E">
        <w:t>.</w:t>
      </w:r>
    </w:p>
    <w:p w:rsidR="00E913A7" w:rsidRDefault="00E913A7" w:rsidP="00E913A7">
      <w:pPr>
        <w:ind w:left="360"/>
        <w:jc w:val="both"/>
      </w:pPr>
      <w:r>
        <w:t>„Kartowanie zniszczeń roślinności” wzdłuż szlaków przewidzianych do remontu należy wykonać na podkładzie mapowym, który udostępni Zamawiający i będzie się odbywało wyłącznie w miejscach, gdzie nastąpiło zniszczenie pokrywy roślinnej (miejsca wydeptane itp</w:t>
      </w:r>
      <w:proofErr w:type="gramStart"/>
      <w:r>
        <w:t>.). Pokrywę</w:t>
      </w:r>
      <w:proofErr w:type="gramEnd"/>
      <w:r>
        <w:t xml:space="preserve"> roślinną należy traktować łącznie, nie dla każdego gatunku osobno – wyznaczamy więc strefę </w:t>
      </w:r>
      <w:r w:rsidR="003B0845">
        <w:t xml:space="preserve">graniczną </w:t>
      </w:r>
      <w:proofErr w:type="spellStart"/>
      <w:r>
        <w:t>pokrycia–braku</w:t>
      </w:r>
      <w:proofErr w:type="spellEnd"/>
      <w:r>
        <w:t xml:space="preserve"> pokrycia roślinami z zastosowaniem skali przygotowanej przez Wykonawcę. </w:t>
      </w:r>
      <w:r w:rsidR="00940A7D">
        <w:t>Jeżeli w trakcie kartowania stanu wyjściowego „0” Wykonawca stwierdzi występowanie roślin</w:t>
      </w:r>
      <w:r w:rsidR="00020158">
        <w:t xml:space="preserve"> na wydeptywanym miejscu</w:t>
      </w:r>
      <w:r w:rsidR="00940A7D">
        <w:t xml:space="preserve"> </w:t>
      </w:r>
      <w:r w:rsidR="00A7248D">
        <w:t>to należy przy opisie kierować się wskaźnikami regeneracji pokrywy roślinnej, z założenia służą jednak one do opisu regeneracji pokrywy roślinnej.</w:t>
      </w:r>
    </w:p>
    <w:p w:rsidR="00980B70" w:rsidRDefault="00980B70" w:rsidP="00980B70">
      <w:pPr>
        <w:pStyle w:val="Akapitzlist"/>
      </w:pPr>
    </w:p>
    <w:p w:rsidR="00980B70" w:rsidRDefault="00DE04AE" w:rsidP="00980B70">
      <w:pPr>
        <w:pStyle w:val="Akapitzlist"/>
        <w:numPr>
          <w:ilvl w:val="0"/>
          <w:numId w:val="7"/>
        </w:numPr>
        <w:jc w:val="both"/>
      </w:pPr>
      <w:r>
        <w:t xml:space="preserve">Czy kartowanie zniszczeń roślinności należy </w:t>
      </w:r>
      <w:r w:rsidRPr="00980B70">
        <w:t xml:space="preserve">wykonać na ośmiu transektach, czy wzdłuż </w:t>
      </w:r>
      <w:proofErr w:type="gramStart"/>
      <w:r w:rsidRPr="00980B70">
        <w:t>całej</w:t>
      </w:r>
      <w:proofErr w:type="gramEnd"/>
      <w:r w:rsidRPr="00980B70">
        <w:t xml:space="preserve"> </w:t>
      </w:r>
      <w:proofErr w:type="gramStart"/>
      <w:r w:rsidRPr="00980B70">
        <w:t>długości</w:t>
      </w:r>
      <w:proofErr w:type="gramEnd"/>
      <w:r w:rsidRPr="00980B70">
        <w:t xml:space="preserve"> remontowanych szlaków</w:t>
      </w:r>
      <w:r w:rsidR="0029714E">
        <w:t>?</w:t>
      </w:r>
      <w:r w:rsidRPr="00980B70">
        <w:t xml:space="preserve"> </w:t>
      </w:r>
      <w:r w:rsidR="00980B70" w:rsidRPr="00980B70">
        <w:t>(</w:t>
      </w:r>
      <w:r w:rsidR="003A3E18">
        <w:t xml:space="preserve">Załącznik 1, 3. </w:t>
      </w:r>
      <w:r w:rsidR="00980B70" w:rsidRPr="006F28ED">
        <w:t>Monitoring efektów związanych z remontem szlaków</w:t>
      </w:r>
      <w:r w:rsidR="009F7B34">
        <w:t>,</w:t>
      </w:r>
      <w:r w:rsidR="00980B70" w:rsidRPr="006F28ED">
        <w:t xml:space="preserve"> </w:t>
      </w:r>
      <w:r w:rsidR="009F7B34">
        <w:t xml:space="preserve">3.2. </w:t>
      </w:r>
      <w:r w:rsidR="009F7B34" w:rsidRPr="004F30B8">
        <w:t>Monitoring sukcesji roślinności</w:t>
      </w:r>
      <w:r w:rsidR="009F7B34">
        <w:t>… Monitoring stanu wyjściowego – stan „0”</w:t>
      </w:r>
      <w:r w:rsidR="009F7B34" w:rsidRPr="00980B70">
        <w:t xml:space="preserve"> </w:t>
      </w:r>
      <w:r w:rsidR="00980B70" w:rsidRPr="00980B70">
        <w:t>(str. 7))</w:t>
      </w:r>
    </w:p>
    <w:p w:rsidR="00020158" w:rsidRPr="00980B70" w:rsidRDefault="00020158" w:rsidP="00020158">
      <w:pPr>
        <w:ind w:left="360"/>
        <w:jc w:val="both"/>
      </w:pPr>
      <w:r>
        <w:t>Kartowanie zniszczeń roślinności należy poprzedzić wizją terenową, która pozwoli wybrać miejsca, gdzie pokrywa roślinna została zniszczona (</w:t>
      </w:r>
      <w:proofErr w:type="gramStart"/>
      <w:r>
        <w:t>wkreślić zatem</w:t>
      </w:r>
      <w:proofErr w:type="gramEnd"/>
      <w:r>
        <w:t xml:space="preserve"> należy </w:t>
      </w:r>
      <w:r w:rsidR="008D550F">
        <w:t xml:space="preserve">wszystkie </w:t>
      </w:r>
      <w:r>
        <w:t xml:space="preserve">miejsca gdzie nastąpiło zniszczenie pokrywy roślinnej). Natomiast regenerację pokrywy roślinnej należy wykonać na 8 transektach dla całej długości szlaku przewidzianego do remontu (około 1260 </w:t>
      </w:r>
      <w:proofErr w:type="gramStart"/>
      <w:r>
        <w:t>mb) czyli</w:t>
      </w:r>
      <w:proofErr w:type="gramEnd"/>
      <w:r>
        <w:t xml:space="preserve"> na każdy z czterech odcinków szlaku przypadają dwa transekty.</w:t>
      </w:r>
    </w:p>
    <w:p w:rsidR="00980B70" w:rsidRPr="00980B70" w:rsidRDefault="00980B70" w:rsidP="00980B70">
      <w:pPr>
        <w:pStyle w:val="Akapitzlist"/>
        <w:ind w:left="1440"/>
        <w:jc w:val="both"/>
      </w:pPr>
    </w:p>
    <w:p w:rsidR="00AE2C8D" w:rsidRDefault="00AE2C8D" w:rsidP="00980B70">
      <w:pPr>
        <w:pStyle w:val="Akapitzlist"/>
        <w:numPr>
          <w:ilvl w:val="0"/>
          <w:numId w:val="7"/>
        </w:numPr>
        <w:jc w:val="both"/>
      </w:pPr>
      <w:r w:rsidRPr="00980B70">
        <w:t>Jaką długość i powierzchni</w:t>
      </w:r>
      <w:r w:rsidR="00DE04AE" w:rsidRPr="00980B70">
        <w:t>ę</w:t>
      </w:r>
      <w:r w:rsidRPr="00980B70">
        <w:t xml:space="preserve"> mają mieć transekty</w:t>
      </w:r>
      <w:r w:rsidR="00742ABA" w:rsidRPr="00980B70">
        <w:t>,</w:t>
      </w:r>
      <w:r w:rsidRPr="00980B70">
        <w:t xml:space="preserve"> na których należy wykonać monitoring? </w:t>
      </w:r>
      <w:r w:rsidR="009F7B34" w:rsidRPr="00980B70">
        <w:t>(</w:t>
      </w:r>
      <w:r w:rsidR="003A3E18">
        <w:t xml:space="preserve">Załącznik 1, 3. </w:t>
      </w:r>
      <w:r w:rsidR="009F7B34" w:rsidRPr="006F28ED">
        <w:t>Monitoring efektów związanych z remontem szlaków</w:t>
      </w:r>
      <w:r w:rsidR="009F7B34">
        <w:t>,</w:t>
      </w:r>
      <w:r w:rsidR="009F7B34" w:rsidRPr="006F28ED">
        <w:t xml:space="preserve"> </w:t>
      </w:r>
      <w:r w:rsidR="009F7B34">
        <w:t xml:space="preserve">3.2. </w:t>
      </w:r>
      <w:r w:rsidR="009F7B34" w:rsidRPr="004F30B8">
        <w:t>Monitoring sukcesji roślinności</w:t>
      </w:r>
      <w:r w:rsidR="009F7B34">
        <w:t xml:space="preserve">… Monitoring </w:t>
      </w:r>
      <w:r w:rsidR="003546C0">
        <w:t xml:space="preserve">wyjściowego efektów </w:t>
      </w:r>
      <w:proofErr w:type="gramStart"/>
      <w:r w:rsidR="003546C0">
        <w:t>działań</w:t>
      </w:r>
      <w:r w:rsidR="009F7B34" w:rsidRPr="00980B70">
        <w:t xml:space="preserve"> (str</w:t>
      </w:r>
      <w:proofErr w:type="gramEnd"/>
      <w:r w:rsidR="009F7B34" w:rsidRPr="00980B70">
        <w:t>. 7))</w:t>
      </w:r>
    </w:p>
    <w:p w:rsidR="00020158" w:rsidRDefault="00020158" w:rsidP="00020158">
      <w:pPr>
        <w:ind w:left="360"/>
        <w:jc w:val="both"/>
      </w:pPr>
      <w:r>
        <w:t xml:space="preserve">Generalnie wielkość transektu należy uzależnić od zasięgu oddziaływania zniszczeń (wielkości powierzchni o zniszczonej pokrywie roślinnej). Dla potrzeb projektowych Zamawiający przyjął wielkość transektu w zakresie do 5 m długości i szerokości 1-3 m. </w:t>
      </w:r>
      <w:proofErr w:type="gramStart"/>
      <w:r>
        <w:t>Nie określony</w:t>
      </w:r>
      <w:proofErr w:type="gramEnd"/>
      <w:r>
        <w:t xml:space="preserve"> został układ </w:t>
      </w:r>
      <w:r w:rsidR="00C43B69">
        <w:t>transektu</w:t>
      </w:r>
      <w:r>
        <w:t xml:space="preserve"> względem osi szlaku (prostopadle czy równolegle) jednakże </w:t>
      </w:r>
      <w:r w:rsidR="00C43B69">
        <w:t>Wykonawca jest zobowiązany ustalić taki układ i wielkość, która pozwoli na śledzenie zmian zachodzących w monitorowanym miejscu.</w:t>
      </w:r>
    </w:p>
    <w:p w:rsidR="00980B70" w:rsidRDefault="00980B70" w:rsidP="00980B70">
      <w:pPr>
        <w:pStyle w:val="Akapitzlist"/>
      </w:pPr>
    </w:p>
    <w:p w:rsidR="00980B70" w:rsidRDefault="007D7AD2" w:rsidP="00980B70">
      <w:pPr>
        <w:pStyle w:val="Akapitzlist"/>
        <w:numPr>
          <w:ilvl w:val="0"/>
          <w:numId w:val="7"/>
        </w:numPr>
        <w:jc w:val="both"/>
      </w:pPr>
      <w:r w:rsidRPr="00980B70">
        <w:t>Prosimy o doprecyzowanie</w:t>
      </w:r>
      <w:r w:rsidR="00377706" w:rsidRPr="00980B70">
        <w:t>, które</w:t>
      </w:r>
      <w:r>
        <w:t xml:space="preserve"> wskaźnik</w:t>
      </w:r>
      <w:r w:rsidR="0050150C">
        <w:t>i i parametry należy ocenić w celu określenia</w:t>
      </w:r>
      <w:r>
        <w:t xml:space="preserve"> stan</w:t>
      </w:r>
      <w:r w:rsidR="00742ABA">
        <w:t>u</w:t>
      </w:r>
      <w:r>
        <w:t xml:space="preserve"> zachowania siedliska przyrodniczego</w:t>
      </w:r>
      <w:r w:rsidR="0050150C">
        <w:t xml:space="preserve"> wzdłuż remontowanych szlaków. </w:t>
      </w:r>
      <w:r w:rsidR="009F7B34" w:rsidRPr="00980B70">
        <w:t>(</w:t>
      </w:r>
      <w:r w:rsidR="003A3E18">
        <w:t xml:space="preserve">Załącznik 1, 3. </w:t>
      </w:r>
      <w:r w:rsidR="009F7B34" w:rsidRPr="006F28ED">
        <w:t>Monitoring efektów związanych z remontem szlaków</w:t>
      </w:r>
      <w:r w:rsidR="009F7B34">
        <w:t>,</w:t>
      </w:r>
      <w:r w:rsidR="009F7B34" w:rsidRPr="006F28ED">
        <w:t xml:space="preserve"> </w:t>
      </w:r>
      <w:r w:rsidR="009F7B34">
        <w:t xml:space="preserve">3.2. </w:t>
      </w:r>
      <w:r w:rsidR="009F7B34" w:rsidRPr="004F30B8">
        <w:t>Monitoring sukcesji roślinności</w:t>
      </w:r>
      <w:r w:rsidR="009F7B34">
        <w:t xml:space="preserve">… </w:t>
      </w:r>
      <w:r w:rsidR="009F7B34" w:rsidRPr="00980B70">
        <w:t>(str. 7))</w:t>
      </w:r>
      <w:r w:rsidR="00C43B69">
        <w:t>.</w:t>
      </w:r>
    </w:p>
    <w:p w:rsidR="00C43B69" w:rsidRDefault="00C43B69" w:rsidP="00C43B69">
      <w:pPr>
        <w:ind w:left="360"/>
        <w:jc w:val="both"/>
      </w:pPr>
      <w:r>
        <w:t xml:space="preserve">Wzdłuż remontowanych szlaków, jednocześnie miejsc objętych monitoringiem sukcesji roślinności, Zamawiający nie przewiduje wykonania pełnego monitoringu przewidzianego metodyką GIOŚ dla odpowiednich leśnych siedlisk przyrodniczych. Należy jedynie </w:t>
      </w:r>
      <w:r w:rsidR="003B0845">
        <w:t>ocenić</w:t>
      </w:r>
      <w:r>
        <w:t xml:space="preserve"> </w:t>
      </w:r>
      <w:r w:rsidR="003B0845">
        <w:t>wskaźniki i</w:t>
      </w:r>
      <w:r>
        <w:t xml:space="preserve"> parametry monitorowanego siedliska przyrodniczego w bezpośredniej strefie </w:t>
      </w:r>
      <w:r w:rsidR="003B0845">
        <w:t xml:space="preserve">szlaków przewidzianych do </w:t>
      </w:r>
      <w:r>
        <w:t>remont</w:t>
      </w:r>
      <w:r w:rsidR="003B0845">
        <w:t xml:space="preserve">u (2014 rok), a w ramach monitoringu efektów działań ochronnych (lata 2015 i 2017) wymienić wskaźniki i parametry dla siedlisk przyrodniczych wskazując na te, które </w:t>
      </w:r>
      <w:r>
        <w:t>uległy zmianie poda</w:t>
      </w:r>
      <w:r w:rsidR="003B0845">
        <w:t>jąc jednocześnie uzasadnienie</w:t>
      </w:r>
      <w:r>
        <w:t>.</w:t>
      </w:r>
    </w:p>
    <w:p w:rsidR="00980B70" w:rsidRDefault="00980B70" w:rsidP="00980B70">
      <w:pPr>
        <w:pStyle w:val="Akapitzlist"/>
      </w:pPr>
    </w:p>
    <w:p w:rsidR="006E11E8" w:rsidRDefault="006E11E8" w:rsidP="00980B70">
      <w:pPr>
        <w:pStyle w:val="Akapitzlist"/>
        <w:numPr>
          <w:ilvl w:val="0"/>
          <w:numId w:val="7"/>
        </w:numPr>
        <w:jc w:val="both"/>
      </w:pPr>
      <w:r w:rsidRPr="009F7B34">
        <w:t>P</w:t>
      </w:r>
      <w:r w:rsidR="009F7B34" w:rsidRPr="009F7B34">
        <w:t xml:space="preserve">rosimy o </w:t>
      </w:r>
      <w:proofErr w:type="gramStart"/>
      <w:r w:rsidRPr="009F7B34">
        <w:t>doprecyzowani</w:t>
      </w:r>
      <w:r w:rsidR="009F7B34" w:rsidRPr="009F7B34">
        <w:t>e</w:t>
      </w:r>
      <w:r w:rsidRPr="009F7B34">
        <w:t xml:space="preserve"> na czym</w:t>
      </w:r>
      <w:proofErr w:type="gramEnd"/>
      <w:r w:rsidRPr="009F7B34">
        <w:t xml:space="preserve"> ma polegać inwentaryzacja stanowisk pszonaka pienińskiego</w:t>
      </w:r>
      <w:r w:rsidR="0029714E">
        <w:t>. Czy obejmuje ona wyłącznie określone w SIWZ wskaźniki monitorowania</w:t>
      </w:r>
      <w:r w:rsidR="00B6104B">
        <w:t xml:space="preserve">, </w:t>
      </w:r>
      <w:r w:rsidR="0029714E">
        <w:t xml:space="preserve">czy również </w:t>
      </w:r>
      <w:bookmarkStart w:id="0" w:name="_GoBack"/>
      <w:bookmarkEnd w:id="0"/>
      <w:r w:rsidR="0029714E">
        <w:t>dodatkowe działania? Czy należy podawać współrzędne lokalizacji występowania gatunku?</w:t>
      </w:r>
      <w:r w:rsidR="00B83381" w:rsidRPr="009F7B34">
        <w:t xml:space="preserve"> (</w:t>
      </w:r>
      <w:r w:rsidR="003A3E18">
        <w:t xml:space="preserve">Załącznik 1, </w:t>
      </w:r>
      <w:r w:rsidR="009F7B34" w:rsidRPr="009F7B34">
        <w:t xml:space="preserve">4. </w:t>
      </w:r>
      <w:r w:rsidR="00980B70" w:rsidRPr="009F7B34">
        <w:t xml:space="preserve">Monitoring </w:t>
      </w:r>
      <w:r w:rsidR="009F7B34" w:rsidRPr="009F7B34">
        <w:t xml:space="preserve">efektów zabiegów ochronnych </w:t>
      </w:r>
      <w:r w:rsidR="00980B70" w:rsidRPr="009F7B34">
        <w:t>w siedlisku pszonaka pienińskiego</w:t>
      </w:r>
      <w:r w:rsidR="009F7B34">
        <w:t xml:space="preserve"> Monitoring stanu wyjściowego – stan „0”</w:t>
      </w:r>
      <w:r w:rsidR="00980B70" w:rsidRPr="009F7B34">
        <w:t xml:space="preserve"> </w:t>
      </w:r>
      <w:r w:rsidR="009F7B34" w:rsidRPr="009F7B34">
        <w:t>(</w:t>
      </w:r>
      <w:r w:rsidR="00B83381" w:rsidRPr="009F7B34">
        <w:t>str. 8</w:t>
      </w:r>
      <w:r w:rsidR="009F7B34" w:rsidRPr="009F7B34">
        <w:t>)</w:t>
      </w:r>
      <w:r w:rsidR="00B83381">
        <w:t>)</w:t>
      </w:r>
      <w:r>
        <w:t>.</w:t>
      </w:r>
      <w:r w:rsidR="008237A5">
        <w:t xml:space="preserve"> </w:t>
      </w:r>
    </w:p>
    <w:p w:rsidR="00C43B69" w:rsidRDefault="00C43B69" w:rsidP="00C43B69">
      <w:pPr>
        <w:ind w:left="360"/>
        <w:jc w:val="both"/>
      </w:pPr>
      <w:r>
        <w:t>I</w:t>
      </w:r>
      <w:r w:rsidRPr="009F7B34">
        <w:t xml:space="preserve">nwentaryzacja stanowisk </w:t>
      </w:r>
      <w:proofErr w:type="spellStart"/>
      <w:r w:rsidRPr="009F7B34">
        <w:t>pszonaka</w:t>
      </w:r>
      <w:proofErr w:type="spellEnd"/>
      <w:r w:rsidRPr="009F7B34">
        <w:t xml:space="preserve"> pienińskiego</w:t>
      </w:r>
      <w:r>
        <w:t xml:space="preserve"> ma polegać na wkreśleniu na podkładzie mapowym, udostępnionym przez Zamawiającego, miejsc jego występowania</w:t>
      </w:r>
      <w:r w:rsidR="00930365">
        <w:t xml:space="preserve"> wyłącznie w rejonie wzgórza zamkowego</w:t>
      </w:r>
      <w:r>
        <w:t xml:space="preserve">. Istnieje możliwość przekazania Wykonawcy mapy w formacie shp do wkreślenia miejsc występowania </w:t>
      </w:r>
      <w:proofErr w:type="spellStart"/>
      <w:r>
        <w:t>pszonaka</w:t>
      </w:r>
      <w:proofErr w:type="spellEnd"/>
      <w:r>
        <w:t xml:space="preserve"> </w:t>
      </w:r>
      <w:r w:rsidR="00930365">
        <w:t xml:space="preserve">pienińskiego. Zgodnie z Załącznikiem nr 1 do SIWZ należy monitoring przeprowadzić </w:t>
      </w:r>
      <w:r w:rsidR="00D740A8">
        <w:t>według</w:t>
      </w:r>
      <w:r w:rsidR="00930365">
        <w:t xml:space="preserve"> opublikowan</w:t>
      </w:r>
      <w:r w:rsidR="00D740A8">
        <w:t>ej</w:t>
      </w:r>
      <w:r w:rsidR="00930365">
        <w:t xml:space="preserve"> </w:t>
      </w:r>
      <w:r w:rsidR="00D740A8">
        <w:t xml:space="preserve">przez GIOŚ </w:t>
      </w:r>
      <w:r w:rsidR="00930365">
        <w:t>metodyk</w:t>
      </w:r>
      <w:r w:rsidR="00D740A8">
        <w:t>i</w:t>
      </w:r>
      <w:r w:rsidR="00930365">
        <w:t xml:space="preserve"> (Perzanowska 2010), która przewiduje </w:t>
      </w:r>
      <w:r w:rsidR="008D550F">
        <w:t xml:space="preserve">również </w:t>
      </w:r>
      <w:r w:rsidR="00930365">
        <w:t>podanie współrzędnych geograficznych monitorowanych miejsc.</w:t>
      </w:r>
    </w:p>
    <w:p w:rsidR="00980B70" w:rsidRDefault="00980B70" w:rsidP="00980B70">
      <w:pPr>
        <w:pStyle w:val="Akapitzlist"/>
      </w:pPr>
    </w:p>
    <w:p w:rsidR="00980B70" w:rsidRDefault="00135E22" w:rsidP="00980B70">
      <w:pPr>
        <w:pStyle w:val="Akapitzlist"/>
        <w:numPr>
          <w:ilvl w:val="0"/>
          <w:numId w:val="7"/>
        </w:numPr>
        <w:jc w:val="both"/>
      </w:pPr>
      <w:r w:rsidRPr="00980B70">
        <w:lastRenderedPageBreak/>
        <w:t xml:space="preserve">W </w:t>
      </w:r>
      <w:r w:rsidRPr="00584D2E">
        <w:t>ilu miejscach należy wykonać inwentaryzację stanowisk pszon</w:t>
      </w:r>
      <w:r w:rsidR="00B83381" w:rsidRPr="00584D2E">
        <w:t>a</w:t>
      </w:r>
      <w:r w:rsidRPr="00584D2E">
        <w:t>ka oraz ocenę stanu jego populacji i siedliska?  Prosimy o sprecyzowanie lokalizacji</w:t>
      </w:r>
      <w:r w:rsidR="00FE1D01" w:rsidRPr="00584D2E">
        <w:t xml:space="preserve"> gdzie należy wykonać rozpoznanie położonych poza wzgórzem Zamku Czorsztyn </w:t>
      </w:r>
      <w:r w:rsidR="009F7B34" w:rsidRPr="009F7B34">
        <w:t>(</w:t>
      </w:r>
      <w:r w:rsidR="003A3E18">
        <w:t xml:space="preserve">Załącznik 1, </w:t>
      </w:r>
      <w:r w:rsidR="009F7B34" w:rsidRPr="009F7B34">
        <w:t>4. Monitoring efektów zabiegów ochronnych w siedlisku pszonaka pienińskiego</w:t>
      </w:r>
      <w:r w:rsidR="009F7B34">
        <w:t xml:space="preserve"> Monitoring stanu wyjściowego – stan „0”</w:t>
      </w:r>
      <w:r w:rsidR="009F7B34" w:rsidRPr="009F7B34">
        <w:t xml:space="preserve"> (str. 8)</w:t>
      </w:r>
      <w:r w:rsidR="009F7B34">
        <w:t>).</w:t>
      </w:r>
    </w:p>
    <w:p w:rsidR="00930365" w:rsidRPr="00584D2E" w:rsidRDefault="00930365" w:rsidP="00930365">
      <w:pPr>
        <w:ind w:left="360"/>
        <w:jc w:val="both"/>
      </w:pPr>
      <w:r>
        <w:t xml:space="preserve">Inwentaryzację stanowisk </w:t>
      </w:r>
      <w:proofErr w:type="spellStart"/>
      <w:r>
        <w:t>pszonaka</w:t>
      </w:r>
      <w:proofErr w:type="spellEnd"/>
      <w:r>
        <w:t xml:space="preserve"> pienińskiego i ocenę jego stanu należy przeprowadzić tylko w rejonie wzgórza zamkowego, co obejmuje około 1/3 lokalnej populacji.</w:t>
      </w:r>
    </w:p>
    <w:p w:rsidR="00206214" w:rsidRPr="00930365" w:rsidRDefault="00206214" w:rsidP="00584D2E">
      <w:pPr>
        <w:pStyle w:val="Akapitzlist"/>
        <w:numPr>
          <w:ilvl w:val="0"/>
          <w:numId w:val="7"/>
        </w:numPr>
        <w:jc w:val="both"/>
        <w:rPr>
          <w:i/>
        </w:rPr>
      </w:pPr>
      <w:r w:rsidRPr="00584D2E">
        <w:t xml:space="preserve">Prosimy o </w:t>
      </w:r>
      <w:r w:rsidR="00980B70" w:rsidRPr="00584D2E">
        <w:t xml:space="preserve">doprecyzowanie </w:t>
      </w:r>
      <w:r w:rsidRPr="00584D2E">
        <w:t>informacj</w:t>
      </w:r>
      <w:r w:rsidR="00980B70" w:rsidRPr="00584D2E">
        <w:t>i</w:t>
      </w:r>
      <w:r w:rsidR="00FD29ED" w:rsidRPr="00584D2E">
        <w:t>,</w:t>
      </w:r>
      <w:r w:rsidRPr="00584D2E">
        <w:t xml:space="preserve"> które terminy </w:t>
      </w:r>
      <w:r w:rsidR="00980B70" w:rsidRPr="00584D2E">
        <w:t>zakończenia prac</w:t>
      </w:r>
      <w:r w:rsidR="00B6104B">
        <w:t xml:space="preserve"> terenowych</w:t>
      </w:r>
      <w:r w:rsidR="00980B70" w:rsidRPr="00584D2E">
        <w:t xml:space="preserve"> w monitoringu pszonaka pienińskiego </w:t>
      </w:r>
      <w:r w:rsidRPr="00584D2E">
        <w:t xml:space="preserve">są </w:t>
      </w:r>
      <w:r w:rsidR="00B83381" w:rsidRPr="00584D2E">
        <w:t>obowiązujące</w:t>
      </w:r>
      <w:r w:rsidR="00980B70" w:rsidRPr="00584D2E">
        <w:t>. Zgodnie z</w:t>
      </w:r>
      <w:r w:rsidR="003546C0">
        <w:t>e</w:t>
      </w:r>
      <w:r w:rsidR="00980B70" w:rsidRPr="00584D2E">
        <w:t xml:space="preserve"> </w:t>
      </w:r>
      <w:r w:rsidR="00B6104B">
        <w:t xml:space="preserve">wzorem </w:t>
      </w:r>
      <w:r w:rsidRPr="00584D2E">
        <w:t>umow</w:t>
      </w:r>
      <w:r w:rsidR="00B6104B">
        <w:t xml:space="preserve">y załączonym do </w:t>
      </w:r>
      <w:proofErr w:type="gramStart"/>
      <w:r w:rsidR="00B6104B">
        <w:t xml:space="preserve">SIWZ </w:t>
      </w:r>
      <w:r w:rsidRPr="00584D2E">
        <w:t xml:space="preserve"> </w:t>
      </w:r>
      <w:r w:rsidR="00980B70" w:rsidRPr="00584D2E">
        <w:t>p</w:t>
      </w:r>
      <w:r w:rsidRPr="00584D2E">
        <w:t>race</w:t>
      </w:r>
      <w:proofErr w:type="gramEnd"/>
      <w:r w:rsidRPr="00584D2E">
        <w:t xml:space="preserve"> terenowe (inwentaryzacja wstępna) należy zakończyć do 30 czerwca 2014 r.</w:t>
      </w:r>
      <w:r w:rsidR="00584D2E" w:rsidRPr="00584D2E">
        <w:t xml:space="preserve">, a w </w:t>
      </w:r>
      <w:r w:rsidRPr="00584D2E">
        <w:t>kolejnych latach (ocena efektów) do 31 lipca danego roku</w:t>
      </w:r>
      <w:r w:rsidR="00980B70" w:rsidRPr="00584D2E">
        <w:t xml:space="preserve">, podczas gdy </w:t>
      </w:r>
      <w:r w:rsidRPr="00584D2E">
        <w:t>w</w:t>
      </w:r>
      <w:r w:rsidR="00980B70" w:rsidRPr="00584D2E">
        <w:t>edług</w:t>
      </w:r>
      <w:r w:rsidRPr="00584D2E">
        <w:t xml:space="preserve"> Zał</w:t>
      </w:r>
      <w:r w:rsidR="00980B70" w:rsidRPr="00584D2E">
        <w:t>ącznika</w:t>
      </w:r>
      <w:r w:rsidRPr="00584D2E">
        <w:t xml:space="preserve"> 1 Założenia metodyczne</w:t>
      </w:r>
      <w:r w:rsidR="00FD29ED" w:rsidRPr="00584D2E">
        <w:t>:</w:t>
      </w:r>
      <w:r w:rsidRPr="00584D2E">
        <w:t xml:space="preserve"> prace</w:t>
      </w:r>
      <w:r w:rsidRPr="00980B70">
        <w:t xml:space="preserve"> terenowe należy zakończyć do 31 sierpnia</w:t>
      </w:r>
      <w:r w:rsidR="00584D2E">
        <w:t>.</w:t>
      </w:r>
      <w:r w:rsidR="009F7B34">
        <w:t xml:space="preserve"> </w:t>
      </w:r>
      <w:r w:rsidR="009F7B34" w:rsidRPr="009F7B34">
        <w:t>(</w:t>
      </w:r>
      <w:r w:rsidR="003A3E18">
        <w:t xml:space="preserve">Załącznik 1, </w:t>
      </w:r>
      <w:r w:rsidR="009F7B34" w:rsidRPr="009F7B34">
        <w:t>4. Monitoring efektów zabiegów ochronnych w siedlisku pszonaka pienińskiego</w:t>
      </w:r>
      <w:r w:rsidR="009F7B34">
        <w:t xml:space="preserve"> </w:t>
      </w:r>
      <w:r w:rsidR="009F7B34" w:rsidRPr="009F7B34">
        <w:t>(</w:t>
      </w:r>
      <w:proofErr w:type="gramStart"/>
      <w:r w:rsidR="009F7B34" w:rsidRPr="009F7B34">
        <w:t>str. 8)</w:t>
      </w:r>
      <w:r w:rsidR="00B6104B" w:rsidRPr="00B6104B">
        <w:t xml:space="preserve"> </w:t>
      </w:r>
      <w:r w:rsidR="00B6104B">
        <w:t xml:space="preserve">, </w:t>
      </w:r>
      <w:proofErr w:type="gramEnd"/>
      <w:r w:rsidR="00B6104B">
        <w:t xml:space="preserve">Załącznik 3.5 </w:t>
      </w:r>
      <w:proofErr w:type="gramStart"/>
      <w:r w:rsidR="00B6104B">
        <w:t>wzór</w:t>
      </w:r>
      <w:proofErr w:type="gramEnd"/>
      <w:r w:rsidR="00B6104B">
        <w:t xml:space="preserve"> umowy pszonak)</w:t>
      </w:r>
      <w:r w:rsidR="009F7B34">
        <w:t>.</w:t>
      </w:r>
    </w:p>
    <w:p w:rsidR="00930365" w:rsidRPr="0029707D" w:rsidRDefault="00930365" w:rsidP="00930365">
      <w:pPr>
        <w:ind w:left="360"/>
        <w:jc w:val="both"/>
      </w:pPr>
      <w:r>
        <w:t xml:space="preserve">W pierwszym roku monitoringu należy zakończyć prace do 30 czerwca 2014 r., natomiast w następnych latach prace terenowe (ocena efektów) prace należy wykonać do 31 sierpnia. </w:t>
      </w:r>
    </w:p>
    <w:p w:rsidR="003546C0" w:rsidRPr="0029707D" w:rsidRDefault="003546C0" w:rsidP="003546C0">
      <w:pPr>
        <w:pStyle w:val="Akapitzlist"/>
        <w:jc w:val="both"/>
      </w:pPr>
    </w:p>
    <w:p w:rsidR="009A007F" w:rsidRDefault="00584D2E" w:rsidP="00584D2E">
      <w:pPr>
        <w:pStyle w:val="Akapitzlist"/>
        <w:numPr>
          <w:ilvl w:val="0"/>
          <w:numId w:val="7"/>
        </w:numPr>
        <w:jc w:val="both"/>
      </w:pPr>
      <w:r w:rsidRPr="0029707D">
        <w:t>Czy w odniesieniu do m</w:t>
      </w:r>
      <w:r w:rsidR="009A007F" w:rsidRPr="0029707D">
        <w:t>onitoring skuteczności usuwania gatunków inwaz</w:t>
      </w:r>
      <w:r w:rsidR="009A007F" w:rsidRPr="00584D2E">
        <w:t>yjnych</w:t>
      </w:r>
      <w:r>
        <w:t xml:space="preserve"> </w:t>
      </w:r>
      <w:r w:rsidR="00394008" w:rsidRPr="00584D2E">
        <w:t xml:space="preserve">inwentaryzacja stanowisk gatunków </w:t>
      </w:r>
      <w:proofErr w:type="gramStart"/>
      <w:r w:rsidR="00394008" w:rsidRPr="00584D2E">
        <w:t>inwazyjnych  dotyczy</w:t>
      </w:r>
      <w:proofErr w:type="gramEnd"/>
      <w:r w:rsidR="00394008" w:rsidRPr="00584D2E">
        <w:t xml:space="preserve"> wyłącz</w:t>
      </w:r>
      <w:r w:rsidR="00394008" w:rsidRPr="00394008">
        <w:t>nie 2 gatunków: rdestowca ostrokończystego i rdestowca sachalińskiego</w:t>
      </w:r>
      <w:r w:rsidR="00394008">
        <w:t xml:space="preserve"> występujących na kilku stanowiskach na brzegu Dunajca</w:t>
      </w:r>
      <w:r w:rsidR="00394008" w:rsidRPr="00394008">
        <w:t>?</w:t>
      </w:r>
      <w:r w:rsidR="00AE25DC">
        <w:t xml:space="preserve"> </w:t>
      </w:r>
      <w:r w:rsidR="009F7B34">
        <w:t>(Załącznik 1, 5. Monitoring skuteczności usuwania gatunków inwazyjnych (str. 9))</w:t>
      </w:r>
    </w:p>
    <w:p w:rsidR="0029707D" w:rsidRDefault="00250C77" w:rsidP="0029707D">
      <w:pPr>
        <w:ind w:left="360"/>
        <w:jc w:val="both"/>
      </w:pPr>
      <w:r>
        <w:t xml:space="preserve">Monitoring </w:t>
      </w:r>
      <w:r w:rsidRPr="0029707D">
        <w:t>skuteczności usuwania gatunków inwaz</w:t>
      </w:r>
      <w:r w:rsidRPr="00584D2E">
        <w:t>yjnych</w:t>
      </w:r>
      <w:r>
        <w:t xml:space="preserve"> i </w:t>
      </w:r>
      <w:r w:rsidRPr="00584D2E">
        <w:t xml:space="preserve">inwentaryzacja </w:t>
      </w:r>
      <w:r>
        <w:t xml:space="preserve">stanowisk gatunków inwazyjnych </w:t>
      </w:r>
      <w:r w:rsidRPr="00584D2E">
        <w:t>dotyczy wyłącz</w:t>
      </w:r>
      <w:r w:rsidRPr="00394008">
        <w:t>nie 2 gatunków: rdestowca ostrokończystego i rdestowca sachalińskiego</w:t>
      </w:r>
      <w:r>
        <w:t>.</w:t>
      </w:r>
    </w:p>
    <w:p w:rsidR="00584D2E" w:rsidRDefault="00584D2E" w:rsidP="00584D2E">
      <w:pPr>
        <w:pStyle w:val="Akapitzlist"/>
        <w:jc w:val="both"/>
      </w:pPr>
    </w:p>
    <w:p w:rsidR="00031966" w:rsidRDefault="00584D2E" w:rsidP="00584D2E">
      <w:pPr>
        <w:pStyle w:val="Akapitzlist"/>
        <w:numPr>
          <w:ilvl w:val="0"/>
          <w:numId w:val="7"/>
        </w:numPr>
        <w:jc w:val="both"/>
      </w:pPr>
      <w:r>
        <w:t>Prosimy o wyjaśnienie rozbieżności</w:t>
      </w:r>
      <w:r w:rsidRPr="00584D2E">
        <w:t xml:space="preserve"> </w:t>
      </w:r>
      <w:r>
        <w:t xml:space="preserve">stwierdzonych w Załącznik 1 do </w:t>
      </w:r>
      <w:r w:rsidRPr="00CE2DB7">
        <w:t>SIWZ</w:t>
      </w:r>
      <w:r w:rsidR="00B6104B">
        <w:t>.</w:t>
      </w:r>
      <w:r>
        <w:t xml:space="preserve"> </w:t>
      </w:r>
      <w:r w:rsidR="00B6104B">
        <w:t>C</w:t>
      </w:r>
      <w:r w:rsidR="00031966">
        <w:t xml:space="preserve">zy monitoring efektów działań ochronnych należy wykonać w pierwszym </w:t>
      </w:r>
      <w:r w:rsidR="00031966" w:rsidRPr="00584D2E">
        <w:t xml:space="preserve">i trzecim roku po zabiegach </w:t>
      </w:r>
      <w:r w:rsidR="00780B74" w:rsidRPr="00584D2E">
        <w:t>(</w:t>
      </w:r>
      <w:r w:rsidR="00031966" w:rsidRPr="00584D2E">
        <w:t>2 razy)</w:t>
      </w:r>
      <w:r w:rsidR="00B6104B">
        <w:t>,</w:t>
      </w:r>
      <w:r w:rsidR="00031966" w:rsidRPr="00584D2E">
        <w:t xml:space="preserve"> czy w pierwszym</w:t>
      </w:r>
      <w:r>
        <w:t>,</w:t>
      </w:r>
      <w:r w:rsidR="00031966" w:rsidRPr="00584D2E">
        <w:t xml:space="preserve"> drugi</w:t>
      </w:r>
      <w:r w:rsidR="00780B74" w:rsidRPr="00584D2E">
        <w:t>m i trzecim roku po zabiegach (</w:t>
      </w:r>
      <w:r w:rsidR="00031966" w:rsidRPr="00584D2E">
        <w:t>3 razy)</w:t>
      </w:r>
      <w:r w:rsidR="00B6104B">
        <w:t>?</w:t>
      </w:r>
      <w:r w:rsidR="00031966" w:rsidRPr="00584D2E">
        <w:t xml:space="preserve"> </w:t>
      </w:r>
      <w:r w:rsidR="009F7B34">
        <w:t>(Załącznik 1, 5. Monitoring skuteczności usuwania gatunków inwazyjnych Monitoring działań ochronnych (str. 9))</w:t>
      </w:r>
    </w:p>
    <w:p w:rsidR="00250C77" w:rsidRDefault="00250C77" w:rsidP="00250C77">
      <w:pPr>
        <w:ind w:left="360"/>
        <w:jc w:val="both"/>
      </w:pPr>
      <w:r>
        <w:t xml:space="preserve">Monitoring efektów </w:t>
      </w:r>
      <w:r w:rsidRPr="0029707D">
        <w:t>skuteczności usuwania gatunków inwaz</w:t>
      </w:r>
      <w:r w:rsidRPr="00584D2E">
        <w:t>yjnych</w:t>
      </w:r>
      <w:r>
        <w:t xml:space="preserve"> gatunków inwazyjnych należy wykonać 3 razy w latach 2015-2017 zgodnie z załączonym w harmonogramem (strona 9 załącznika 1 do SIWZ).</w:t>
      </w:r>
    </w:p>
    <w:p w:rsidR="00584D2E" w:rsidRDefault="00584D2E" w:rsidP="00584D2E">
      <w:pPr>
        <w:pStyle w:val="Akapitzlist"/>
        <w:jc w:val="both"/>
      </w:pPr>
    </w:p>
    <w:p w:rsidR="00AC67DE" w:rsidRPr="00250C77" w:rsidRDefault="001C6E60" w:rsidP="00584D2E">
      <w:pPr>
        <w:pStyle w:val="Akapitzlist"/>
        <w:numPr>
          <w:ilvl w:val="0"/>
          <w:numId w:val="7"/>
        </w:numPr>
        <w:jc w:val="both"/>
        <w:rPr>
          <w:i/>
        </w:rPr>
      </w:pPr>
      <w:r w:rsidRPr="00584D2E">
        <w:t xml:space="preserve">Prosimy o </w:t>
      </w:r>
      <w:proofErr w:type="gramStart"/>
      <w:r w:rsidRPr="00584D2E">
        <w:t>doprecyzowanie</w:t>
      </w:r>
      <w:r w:rsidRPr="001C6E60">
        <w:t xml:space="preserve"> co</w:t>
      </w:r>
      <w:proofErr w:type="gramEnd"/>
      <w:r w:rsidRPr="001C6E60">
        <w:t xml:space="preserve"> jest rozumiane jako stawka za </w:t>
      </w:r>
      <w:r w:rsidR="00584D2E">
        <w:t>jeden</w:t>
      </w:r>
      <w:r w:rsidRPr="001C6E60">
        <w:t xml:space="preserve"> kompleks</w:t>
      </w:r>
      <w:r>
        <w:t xml:space="preserve"> przy dokumentacji pełnej, uproszczonej i inwentaryzacji gatunków?  </w:t>
      </w:r>
      <w:r w:rsidR="009F7B34">
        <w:t>(</w:t>
      </w:r>
      <w:r w:rsidR="003A3E18">
        <w:t>Formularz ofertowy…)</w:t>
      </w:r>
    </w:p>
    <w:p w:rsidR="00250C77" w:rsidRPr="00250C77" w:rsidRDefault="008D7B68" w:rsidP="00250C77">
      <w:pPr>
        <w:ind w:left="360"/>
        <w:jc w:val="both"/>
      </w:pPr>
      <w:r>
        <w:t xml:space="preserve">Zamawiający przewidział, że w trakcie trwania projektu wykupionych zostanie około 24 ha gruntów nieleśnych oraz około 16 ha gruntów leśnych, które będą objęte monitoringiem skuteczności zabiegów na wykupionych łąkach lub monitoringiem procesów przyrodniczych zachodzących w siedliskach leśnych. </w:t>
      </w:r>
      <w:r w:rsidR="00250C77">
        <w:t xml:space="preserve">Kompleksem w rozumieniu Zamawiającego jest wykupiona działka ewidencyjna, grupa działek ewidencyjnych </w:t>
      </w:r>
      <w:r w:rsidR="0045242E">
        <w:t xml:space="preserve">położonych w jednym miejscu </w:t>
      </w:r>
      <w:r w:rsidR="00250C77">
        <w:t xml:space="preserve">lub ich fragmentów przewidziana do objęcia </w:t>
      </w:r>
      <w:r w:rsidR="0045242E">
        <w:t xml:space="preserve">odpowiednim </w:t>
      </w:r>
      <w:r w:rsidR="00250C77">
        <w:t>monitoringiem</w:t>
      </w:r>
      <w:r w:rsidR="0045242E">
        <w:t xml:space="preserve"> (siedlisk przyrodniczych leśnych lub nieleśnych)</w:t>
      </w:r>
      <w:r w:rsidR="00250C77">
        <w:t xml:space="preserve">. Natomiast stawka obejmuje cenę wykonania usługi – monitoringu </w:t>
      </w:r>
      <w:r w:rsidR="0045242E">
        <w:t xml:space="preserve">w zależności od zakresu prac tj. pełnej dokumentacji, oceny uproszczonej lub inwentaryzacji gatunków, którą wskazuje Zamawiający w corocznym zleceniu. Należy podkreślić, że cena jednostkowa </w:t>
      </w:r>
      <w:r>
        <w:t xml:space="preserve">w Formularzu ofertowym powinna zawierać również cenę za referat na konferencję (dla siedlisk przyrodniczych nieleśnych i leśnych oraz cenę za przygotowanie artykułu naukowego (dla siedlisk przyrodniczych nieleśnych). Ceny za referaty i artykuł pomimo wliczenia ich w stawki za wykonanie monitoringów muszą być wyszczególnione na szarych polach </w:t>
      </w:r>
      <w:r w:rsidR="00D740A8">
        <w:t xml:space="preserve">formularza </w:t>
      </w:r>
      <w:r>
        <w:t>(w projekcie kwoty te pochodzą z różnych działań).</w:t>
      </w:r>
    </w:p>
    <w:p w:rsidR="00D366FE" w:rsidRPr="00153D1A" w:rsidRDefault="00D366FE" w:rsidP="00D366FE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:rsidR="008940F4" w:rsidRDefault="008940F4" w:rsidP="006B422D">
      <w:pPr>
        <w:pStyle w:val="Default"/>
        <w:ind w:left="720"/>
        <w:rPr>
          <w:sz w:val="23"/>
          <w:szCs w:val="23"/>
        </w:rPr>
      </w:pPr>
    </w:p>
    <w:p w:rsidR="00D366FE" w:rsidRDefault="00D366FE" w:rsidP="00603DD9">
      <w:pPr>
        <w:pStyle w:val="Default"/>
        <w:ind w:left="720"/>
        <w:rPr>
          <w:sz w:val="23"/>
          <w:szCs w:val="23"/>
        </w:rPr>
      </w:pPr>
    </w:p>
    <w:p w:rsidR="00B94A33" w:rsidRPr="00B94A33" w:rsidRDefault="00B94A33" w:rsidP="00D366FE"/>
    <w:p w:rsidR="00854ECD" w:rsidRDefault="00854ECD" w:rsidP="00854ECD">
      <w:pPr>
        <w:rPr>
          <w:b/>
        </w:rPr>
      </w:pPr>
    </w:p>
    <w:p w:rsidR="006C0A08" w:rsidRPr="001C6E60" w:rsidRDefault="006C0A08" w:rsidP="001A5148"/>
    <w:sectPr w:rsidR="006C0A08" w:rsidRPr="001C6E60" w:rsidSect="00B7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D54"/>
    <w:multiLevelType w:val="hybridMultilevel"/>
    <w:tmpl w:val="9E4E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1A1E"/>
    <w:multiLevelType w:val="hybridMultilevel"/>
    <w:tmpl w:val="76F6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1688C"/>
    <w:multiLevelType w:val="hybridMultilevel"/>
    <w:tmpl w:val="76F6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3A40"/>
    <w:multiLevelType w:val="hybridMultilevel"/>
    <w:tmpl w:val="C73C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5354"/>
    <w:multiLevelType w:val="hybridMultilevel"/>
    <w:tmpl w:val="76F6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D14C3"/>
    <w:multiLevelType w:val="hybridMultilevel"/>
    <w:tmpl w:val="6788349C"/>
    <w:lvl w:ilvl="0" w:tplc="D6F070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3799C"/>
    <w:multiLevelType w:val="hybridMultilevel"/>
    <w:tmpl w:val="76F6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49F4"/>
    <w:rsid w:val="00020158"/>
    <w:rsid w:val="00031966"/>
    <w:rsid w:val="00080D50"/>
    <w:rsid w:val="000A39BA"/>
    <w:rsid w:val="000F006E"/>
    <w:rsid w:val="00135E22"/>
    <w:rsid w:val="00140A8D"/>
    <w:rsid w:val="00153D1A"/>
    <w:rsid w:val="00172D75"/>
    <w:rsid w:val="001A5148"/>
    <w:rsid w:val="001B4288"/>
    <w:rsid w:val="001C6E60"/>
    <w:rsid w:val="00206214"/>
    <w:rsid w:val="00250C77"/>
    <w:rsid w:val="0029707D"/>
    <w:rsid w:val="0029714E"/>
    <w:rsid w:val="003546C0"/>
    <w:rsid w:val="00377706"/>
    <w:rsid w:val="00383540"/>
    <w:rsid w:val="00394008"/>
    <w:rsid w:val="003A0C51"/>
    <w:rsid w:val="003A3E18"/>
    <w:rsid w:val="003A5237"/>
    <w:rsid w:val="003B0845"/>
    <w:rsid w:val="003F1AA8"/>
    <w:rsid w:val="00413939"/>
    <w:rsid w:val="00416D9D"/>
    <w:rsid w:val="0042679E"/>
    <w:rsid w:val="0045242E"/>
    <w:rsid w:val="0045627D"/>
    <w:rsid w:val="00467CC3"/>
    <w:rsid w:val="004C4073"/>
    <w:rsid w:val="004D7E32"/>
    <w:rsid w:val="004F30B8"/>
    <w:rsid w:val="005009B8"/>
    <w:rsid w:val="0050150C"/>
    <w:rsid w:val="005328FE"/>
    <w:rsid w:val="00553810"/>
    <w:rsid w:val="00567C98"/>
    <w:rsid w:val="00584D2E"/>
    <w:rsid w:val="005B41FA"/>
    <w:rsid w:val="00603DD9"/>
    <w:rsid w:val="00611F6D"/>
    <w:rsid w:val="006350D3"/>
    <w:rsid w:val="006B422D"/>
    <w:rsid w:val="006C0A08"/>
    <w:rsid w:val="006E11E8"/>
    <w:rsid w:val="006F28ED"/>
    <w:rsid w:val="006F2A35"/>
    <w:rsid w:val="00704336"/>
    <w:rsid w:val="00742ABA"/>
    <w:rsid w:val="00780B74"/>
    <w:rsid w:val="007D7AD2"/>
    <w:rsid w:val="007E4CCD"/>
    <w:rsid w:val="008237A5"/>
    <w:rsid w:val="00823EEA"/>
    <w:rsid w:val="008329C9"/>
    <w:rsid w:val="00854ECD"/>
    <w:rsid w:val="00867D63"/>
    <w:rsid w:val="008940F4"/>
    <w:rsid w:val="008D550F"/>
    <w:rsid w:val="008D7B68"/>
    <w:rsid w:val="008E1400"/>
    <w:rsid w:val="00930365"/>
    <w:rsid w:val="00940A7D"/>
    <w:rsid w:val="00974E57"/>
    <w:rsid w:val="00977F91"/>
    <w:rsid w:val="00980B70"/>
    <w:rsid w:val="00991814"/>
    <w:rsid w:val="009A007F"/>
    <w:rsid w:val="009B6482"/>
    <w:rsid w:val="009B68E6"/>
    <w:rsid w:val="009C2B3E"/>
    <w:rsid w:val="009D4CF4"/>
    <w:rsid w:val="009E6710"/>
    <w:rsid w:val="009F7B34"/>
    <w:rsid w:val="00A301AD"/>
    <w:rsid w:val="00A36E8C"/>
    <w:rsid w:val="00A7248D"/>
    <w:rsid w:val="00AC1E56"/>
    <w:rsid w:val="00AC67DE"/>
    <w:rsid w:val="00AE25DC"/>
    <w:rsid w:val="00AE2C8D"/>
    <w:rsid w:val="00B4570D"/>
    <w:rsid w:val="00B53257"/>
    <w:rsid w:val="00B57B03"/>
    <w:rsid w:val="00B6104B"/>
    <w:rsid w:val="00B75766"/>
    <w:rsid w:val="00B76C58"/>
    <w:rsid w:val="00B83381"/>
    <w:rsid w:val="00B9432A"/>
    <w:rsid w:val="00B94A33"/>
    <w:rsid w:val="00B959E4"/>
    <w:rsid w:val="00BD1AED"/>
    <w:rsid w:val="00BD44DB"/>
    <w:rsid w:val="00C00136"/>
    <w:rsid w:val="00C10537"/>
    <w:rsid w:val="00C24AD5"/>
    <w:rsid w:val="00C43B69"/>
    <w:rsid w:val="00C87F21"/>
    <w:rsid w:val="00CE2DB7"/>
    <w:rsid w:val="00D011E9"/>
    <w:rsid w:val="00D0359D"/>
    <w:rsid w:val="00D366FE"/>
    <w:rsid w:val="00D4134C"/>
    <w:rsid w:val="00D413A5"/>
    <w:rsid w:val="00D740A8"/>
    <w:rsid w:val="00DE04AE"/>
    <w:rsid w:val="00E913A7"/>
    <w:rsid w:val="00F06B02"/>
    <w:rsid w:val="00F831E5"/>
    <w:rsid w:val="00F949F4"/>
    <w:rsid w:val="00FA5044"/>
    <w:rsid w:val="00FC1480"/>
    <w:rsid w:val="00FD29ED"/>
    <w:rsid w:val="00FE1D01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1E5"/>
    <w:pPr>
      <w:ind w:left="720"/>
      <w:contextualSpacing/>
    </w:pPr>
  </w:style>
  <w:style w:type="paragraph" w:customStyle="1" w:styleId="Default">
    <w:name w:val="Default"/>
    <w:rsid w:val="00B9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1E5"/>
    <w:pPr>
      <w:ind w:left="720"/>
      <w:contextualSpacing/>
    </w:pPr>
  </w:style>
  <w:style w:type="paragraph" w:customStyle="1" w:styleId="Default">
    <w:name w:val="Default"/>
    <w:rsid w:val="00B9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2222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TJ PPN Krościenko</cp:lastModifiedBy>
  <cp:revision>11</cp:revision>
  <cp:lastPrinted>2014-04-25T10:04:00Z</cp:lastPrinted>
  <dcterms:created xsi:type="dcterms:W3CDTF">2014-04-24T12:17:00Z</dcterms:created>
  <dcterms:modified xsi:type="dcterms:W3CDTF">2014-04-25T10:18:00Z</dcterms:modified>
</cp:coreProperties>
</file>